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47E" w:rsidRPr="00E3447E" w:rsidRDefault="00E3447E">
      <w:pPr>
        <w:rPr>
          <w:b/>
          <w:sz w:val="24"/>
          <w:szCs w:val="24"/>
        </w:rPr>
      </w:pPr>
      <w:r w:rsidRPr="00E3447E">
        <w:rPr>
          <w:b/>
          <w:sz w:val="24"/>
          <w:szCs w:val="24"/>
        </w:rPr>
        <w:t xml:space="preserve">Mandates </w:t>
      </w:r>
      <w:proofErr w:type="gramStart"/>
      <w:r w:rsidRPr="00E3447E">
        <w:rPr>
          <w:b/>
          <w:sz w:val="24"/>
          <w:szCs w:val="24"/>
        </w:rPr>
        <w:t>In</w:t>
      </w:r>
      <w:proofErr w:type="gramEnd"/>
      <w:r w:rsidRPr="00E3447E">
        <w:rPr>
          <w:b/>
          <w:sz w:val="24"/>
          <w:szCs w:val="24"/>
        </w:rPr>
        <w:t xml:space="preserve"> Theory and Practice, Competing Mandates</w:t>
      </w:r>
    </w:p>
    <w:p w:rsidR="005B5073" w:rsidRPr="00E3447E" w:rsidRDefault="005B5073">
      <w:pPr>
        <w:rPr>
          <w:sz w:val="24"/>
          <w:szCs w:val="24"/>
        </w:rPr>
      </w:pPr>
      <w:r w:rsidRPr="00E3447E">
        <w:rPr>
          <w:sz w:val="24"/>
          <w:szCs w:val="24"/>
        </w:rPr>
        <w:t>In theory</w:t>
      </w:r>
    </w:p>
    <w:p w:rsidR="005B5073" w:rsidRPr="00E3447E" w:rsidRDefault="00384346" w:rsidP="00AF00FD">
      <w:pPr>
        <w:rPr>
          <w:sz w:val="24"/>
          <w:szCs w:val="24"/>
        </w:rPr>
      </w:pPr>
      <w:r w:rsidRPr="00E3447E">
        <w:rPr>
          <w:sz w:val="24"/>
          <w:szCs w:val="24"/>
        </w:rPr>
        <w:t xml:space="preserve">Mandate in practice- The authority provided by voters to a successful political party to pursue its policies </w:t>
      </w:r>
      <w:r w:rsidR="005B5073" w:rsidRPr="00E3447E">
        <w:rPr>
          <w:sz w:val="24"/>
          <w:szCs w:val="24"/>
        </w:rPr>
        <w:t xml:space="preserve">in parliament. The winning party or coalition have a government mandate to enact legislation and carry out administration based on the policies put to the people in the election that brought it to power. In recent years minor parties who hold the balance of power in the senate </w:t>
      </w:r>
    </w:p>
    <w:p w:rsidR="005B5073" w:rsidRPr="00E3447E" w:rsidRDefault="005B5073" w:rsidP="00AF00FD">
      <w:pPr>
        <w:pStyle w:val="ListParagraph"/>
        <w:numPr>
          <w:ilvl w:val="0"/>
          <w:numId w:val="2"/>
        </w:numPr>
        <w:rPr>
          <w:sz w:val="24"/>
          <w:szCs w:val="24"/>
        </w:rPr>
      </w:pPr>
      <w:r w:rsidRPr="00E3447E">
        <w:rPr>
          <w:sz w:val="24"/>
          <w:szCs w:val="24"/>
        </w:rPr>
        <w:t>The representative function of parliament is that members of parliament are expected to represent the views and interests of the electorate</w:t>
      </w:r>
    </w:p>
    <w:p w:rsidR="00AF00FD" w:rsidRPr="00E3447E" w:rsidRDefault="00AF00FD" w:rsidP="00AF00FD">
      <w:pPr>
        <w:pStyle w:val="ListParagraph"/>
        <w:numPr>
          <w:ilvl w:val="0"/>
          <w:numId w:val="2"/>
        </w:numPr>
        <w:rPr>
          <w:sz w:val="24"/>
          <w:szCs w:val="24"/>
        </w:rPr>
      </w:pPr>
      <w:r w:rsidRPr="00E3447E">
        <w:rPr>
          <w:sz w:val="24"/>
          <w:szCs w:val="24"/>
        </w:rPr>
        <w:t>The p</w:t>
      </w:r>
      <w:r w:rsidR="003A2B33" w:rsidRPr="00E3447E">
        <w:rPr>
          <w:sz w:val="24"/>
          <w:szCs w:val="24"/>
        </w:rPr>
        <w:t>arliament</w:t>
      </w:r>
      <w:r w:rsidR="00500C6A" w:rsidRPr="00E3447E">
        <w:rPr>
          <w:sz w:val="24"/>
          <w:szCs w:val="24"/>
        </w:rPr>
        <w:t xml:space="preserve"> is to be expected to reflect the will of the people as delivered in last election</w:t>
      </w:r>
      <w:r w:rsidR="00642020" w:rsidRPr="00E3447E">
        <w:rPr>
          <w:sz w:val="24"/>
          <w:szCs w:val="24"/>
        </w:rPr>
        <w:t>, for individual members of the house of representatives to represent the views and interests of their electorate and that parliament reflects a broad cross section of society</w:t>
      </w:r>
    </w:p>
    <w:p w:rsidR="00215205" w:rsidRPr="00E3447E" w:rsidRDefault="00721090">
      <w:pPr>
        <w:rPr>
          <w:sz w:val="24"/>
          <w:szCs w:val="24"/>
        </w:rPr>
      </w:pPr>
      <w:proofErr w:type="spellStart"/>
      <w:r w:rsidRPr="00E3447E">
        <w:rPr>
          <w:sz w:val="24"/>
          <w:szCs w:val="24"/>
        </w:rPr>
        <w:t>Majorit</w:t>
      </w:r>
      <w:r w:rsidR="00215205" w:rsidRPr="00E3447E">
        <w:rPr>
          <w:sz w:val="24"/>
          <w:szCs w:val="24"/>
        </w:rPr>
        <w:t>arian</w:t>
      </w:r>
      <w:proofErr w:type="spellEnd"/>
      <w:r w:rsidR="00215205" w:rsidRPr="00E3447E">
        <w:rPr>
          <w:sz w:val="24"/>
          <w:szCs w:val="24"/>
        </w:rPr>
        <w:t xml:space="preserve"> Mandate- Governments justify their dominance of the House of Representatives by arguing that the will of the people is expressed through elections as elections provide the most valid democratic outcomes as seats are allocated proportionally to population. Majority governments earn the </w:t>
      </w:r>
      <w:proofErr w:type="spellStart"/>
      <w:r w:rsidR="00215205" w:rsidRPr="00E3447E">
        <w:rPr>
          <w:sz w:val="24"/>
          <w:szCs w:val="24"/>
        </w:rPr>
        <w:t>majoritarian</w:t>
      </w:r>
      <w:proofErr w:type="spellEnd"/>
      <w:r w:rsidR="00215205" w:rsidRPr="00E3447E">
        <w:rPr>
          <w:sz w:val="24"/>
          <w:szCs w:val="24"/>
        </w:rPr>
        <w:t xml:space="preserve"> mandate in order to give them the right to implement their policies.</w:t>
      </w:r>
    </w:p>
    <w:p w:rsidR="003B43AF" w:rsidRPr="00E3447E" w:rsidRDefault="00DB32BD">
      <w:pPr>
        <w:rPr>
          <w:sz w:val="24"/>
          <w:szCs w:val="24"/>
        </w:rPr>
      </w:pPr>
      <w:r w:rsidRPr="00E3447E">
        <w:rPr>
          <w:sz w:val="24"/>
          <w:szCs w:val="24"/>
        </w:rPr>
        <w:t xml:space="preserve">Balance of power Mandates- On the basis of their electoral support, minor parties </w:t>
      </w:r>
      <w:proofErr w:type="gramStart"/>
      <w:r w:rsidRPr="00E3447E">
        <w:rPr>
          <w:sz w:val="24"/>
          <w:szCs w:val="24"/>
        </w:rPr>
        <w:t>have</w:t>
      </w:r>
      <w:proofErr w:type="gramEnd"/>
      <w:r w:rsidRPr="00E3447E">
        <w:rPr>
          <w:sz w:val="24"/>
          <w:szCs w:val="24"/>
        </w:rPr>
        <w:t xml:space="preserve"> a legitimate mandate or block government legislation. A balance of power mandate allows the government to be subject to the checks and balance of the senate as bills can’t be pushed through with relatively ease as evident in a friendly senate with a famous quote of “Keep the bastards honest” by th</w:t>
      </w:r>
      <w:r w:rsidR="003B43AF" w:rsidRPr="00E3447E">
        <w:rPr>
          <w:sz w:val="24"/>
          <w:szCs w:val="24"/>
        </w:rPr>
        <w:t>e democrats in reference to a balance of power senate</w:t>
      </w:r>
    </w:p>
    <w:p w:rsidR="001F195D" w:rsidRPr="00E3447E" w:rsidRDefault="003B43AF">
      <w:pPr>
        <w:rPr>
          <w:sz w:val="24"/>
          <w:szCs w:val="24"/>
        </w:rPr>
      </w:pPr>
      <w:r w:rsidRPr="00E3447E">
        <w:rPr>
          <w:sz w:val="24"/>
          <w:szCs w:val="24"/>
        </w:rPr>
        <w:t xml:space="preserve">Competing Mandates- Where agreements or coalitions are formed and along with the government theses other minor parties have </w:t>
      </w:r>
      <w:r w:rsidR="001F195D" w:rsidRPr="00E3447E">
        <w:rPr>
          <w:sz w:val="24"/>
          <w:szCs w:val="24"/>
        </w:rPr>
        <w:t>as well</w:t>
      </w:r>
      <w:r w:rsidRPr="00E3447E">
        <w:rPr>
          <w:sz w:val="24"/>
          <w:szCs w:val="24"/>
        </w:rPr>
        <w:t xml:space="preserve"> in which the government promises to adhere to these in these agreements with the minor parties or independents.</w:t>
      </w:r>
      <w:r w:rsidR="001F195D" w:rsidRPr="00E3447E">
        <w:rPr>
          <w:sz w:val="24"/>
          <w:szCs w:val="24"/>
        </w:rPr>
        <w:t xml:space="preserve"> </w:t>
      </w:r>
    </w:p>
    <w:p w:rsidR="001F195D" w:rsidRPr="00E3447E" w:rsidRDefault="001F195D">
      <w:pPr>
        <w:rPr>
          <w:sz w:val="24"/>
          <w:szCs w:val="24"/>
        </w:rPr>
      </w:pPr>
      <w:r w:rsidRPr="00E3447E">
        <w:rPr>
          <w:sz w:val="24"/>
          <w:szCs w:val="24"/>
        </w:rPr>
        <w:t>In Practice</w:t>
      </w:r>
    </w:p>
    <w:p w:rsidR="003B43AF" w:rsidRPr="00E3447E" w:rsidRDefault="001F195D" w:rsidP="001F195D">
      <w:pPr>
        <w:pStyle w:val="ListParagraph"/>
        <w:numPr>
          <w:ilvl w:val="0"/>
          <w:numId w:val="3"/>
        </w:numPr>
        <w:rPr>
          <w:sz w:val="24"/>
          <w:szCs w:val="24"/>
        </w:rPr>
      </w:pPr>
      <w:r w:rsidRPr="00E3447E">
        <w:rPr>
          <w:sz w:val="24"/>
          <w:szCs w:val="24"/>
        </w:rPr>
        <w:t>The party in government through cabinet develops almost all bills considered by federal parliament</w:t>
      </w:r>
    </w:p>
    <w:p w:rsidR="001F195D" w:rsidRPr="00E3447E" w:rsidRDefault="001F195D" w:rsidP="001F195D">
      <w:pPr>
        <w:pStyle w:val="ListParagraph"/>
        <w:numPr>
          <w:ilvl w:val="0"/>
          <w:numId w:val="3"/>
        </w:numPr>
        <w:rPr>
          <w:sz w:val="24"/>
          <w:szCs w:val="24"/>
        </w:rPr>
      </w:pPr>
      <w:r w:rsidRPr="00E3447E">
        <w:rPr>
          <w:sz w:val="24"/>
          <w:szCs w:val="24"/>
        </w:rPr>
        <w:t>The agenda of parliament does include Private Members Bills but even these will fail if they are opposed by the government</w:t>
      </w:r>
    </w:p>
    <w:p w:rsidR="001F195D" w:rsidRPr="00E3447E" w:rsidRDefault="001F195D" w:rsidP="001F195D">
      <w:pPr>
        <w:pStyle w:val="ListParagraph"/>
        <w:numPr>
          <w:ilvl w:val="0"/>
          <w:numId w:val="3"/>
        </w:numPr>
        <w:rPr>
          <w:sz w:val="24"/>
          <w:szCs w:val="24"/>
        </w:rPr>
      </w:pPr>
      <w:r w:rsidRPr="00E3447E">
        <w:rPr>
          <w:sz w:val="24"/>
          <w:szCs w:val="24"/>
        </w:rPr>
        <w:t>The party system generally guarantees that cabinet initiated will at least pass the house of representatives</w:t>
      </w:r>
    </w:p>
    <w:p w:rsidR="008B2646" w:rsidRPr="00E3447E" w:rsidRDefault="008B2646" w:rsidP="001F195D">
      <w:pPr>
        <w:pStyle w:val="ListParagraph"/>
        <w:numPr>
          <w:ilvl w:val="0"/>
          <w:numId w:val="3"/>
        </w:numPr>
        <w:rPr>
          <w:sz w:val="24"/>
          <w:szCs w:val="24"/>
        </w:rPr>
      </w:pPr>
      <w:r w:rsidRPr="00E3447E">
        <w:rPr>
          <w:sz w:val="24"/>
          <w:szCs w:val="24"/>
        </w:rPr>
        <w:t xml:space="preserve">The 2010 election saw the </w:t>
      </w:r>
      <w:proofErr w:type="spellStart"/>
      <w:r w:rsidRPr="00E3447E">
        <w:rPr>
          <w:sz w:val="24"/>
          <w:szCs w:val="24"/>
        </w:rPr>
        <w:t>Labor</w:t>
      </w:r>
      <w:proofErr w:type="spellEnd"/>
      <w:r w:rsidRPr="00E3447E">
        <w:rPr>
          <w:sz w:val="24"/>
          <w:szCs w:val="24"/>
        </w:rPr>
        <w:t xml:space="preserve"> government negotiate agreements with the greens in which pushed legislation to do with climate change such as carbon and mining tax in which Prime Minister Gillard had promised to impose this in the lead up to the </w:t>
      </w:r>
      <w:r w:rsidRPr="00E3447E">
        <w:rPr>
          <w:sz w:val="24"/>
          <w:szCs w:val="24"/>
        </w:rPr>
        <w:lastRenderedPageBreak/>
        <w:t xml:space="preserve">election. Other agreements included the independent Andrew </w:t>
      </w:r>
      <w:proofErr w:type="spellStart"/>
      <w:r w:rsidRPr="00E3447E">
        <w:rPr>
          <w:sz w:val="24"/>
          <w:szCs w:val="24"/>
        </w:rPr>
        <w:t>Wilkie</w:t>
      </w:r>
      <w:proofErr w:type="spellEnd"/>
      <w:r w:rsidRPr="00E3447E">
        <w:rPr>
          <w:sz w:val="24"/>
          <w:szCs w:val="24"/>
        </w:rPr>
        <w:t xml:space="preserve"> who pushed for legislation on gambling issues</w:t>
      </w:r>
    </w:p>
    <w:p w:rsidR="008B2646" w:rsidRPr="00E3447E" w:rsidRDefault="008B2646" w:rsidP="001F195D">
      <w:pPr>
        <w:pStyle w:val="ListParagraph"/>
        <w:numPr>
          <w:ilvl w:val="0"/>
          <w:numId w:val="3"/>
        </w:numPr>
        <w:rPr>
          <w:sz w:val="24"/>
          <w:szCs w:val="24"/>
        </w:rPr>
      </w:pPr>
      <w:r w:rsidRPr="00E3447E">
        <w:rPr>
          <w:sz w:val="24"/>
          <w:szCs w:val="24"/>
        </w:rPr>
        <w:t>Friendly senates ensure that the senate will merely by a rubber stamp for government meaning that there will be a dominance and excessive use of the mandate they have earned</w:t>
      </w:r>
    </w:p>
    <w:p w:rsidR="008B2646" w:rsidRPr="00E3447E" w:rsidRDefault="008B2646" w:rsidP="001F195D">
      <w:pPr>
        <w:pStyle w:val="ListParagraph"/>
        <w:numPr>
          <w:ilvl w:val="0"/>
          <w:numId w:val="3"/>
        </w:numPr>
        <w:rPr>
          <w:sz w:val="24"/>
          <w:szCs w:val="24"/>
        </w:rPr>
      </w:pPr>
      <w:r w:rsidRPr="00E3447E">
        <w:rPr>
          <w:sz w:val="24"/>
          <w:szCs w:val="24"/>
        </w:rPr>
        <w:t xml:space="preserve">Weak mirror representation in which means legislation created may not always represent the choice of the people as federal parliament doesn’t mirror the demographic pattern of Australian society as such groups as women, business people and </w:t>
      </w:r>
      <w:r w:rsidR="008E1B76" w:rsidRPr="00E3447E">
        <w:rPr>
          <w:sz w:val="24"/>
          <w:szCs w:val="24"/>
        </w:rPr>
        <w:t>indigenous</w:t>
      </w:r>
      <w:r w:rsidRPr="00E3447E">
        <w:rPr>
          <w:sz w:val="24"/>
          <w:szCs w:val="24"/>
        </w:rPr>
        <w:t xml:space="preserve"> are somewhat </w:t>
      </w:r>
      <w:r w:rsidR="008E1B76" w:rsidRPr="00E3447E">
        <w:rPr>
          <w:sz w:val="24"/>
          <w:szCs w:val="24"/>
        </w:rPr>
        <w:t xml:space="preserve">underrepresented in the house </w:t>
      </w:r>
    </w:p>
    <w:p w:rsidR="008E1B76" w:rsidRDefault="008E1B76" w:rsidP="008E1B76">
      <w:pPr>
        <w:pStyle w:val="ListParagraph"/>
        <w:ind w:left="810"/>
      </w:pPr>
    </w:p>
    <w:p w:rsidR="000F6114" w:rsidRDefault="000F6114" w:rsidP="000F6114">
      <w:pPr>
        <w:tabs>
          <w:tab w:val="left" w:pos="7380"/>
        </w:tabs>
        <w:spacing w:line="240" w:lineRule="auto"/>
      </w:pPr>
    </w:p>
    <w:p w:rsidR="000F6114" w:rsidRDefault="000F6114" w:rsidP="000F6114">
      <w:pPr>
        <w:tabs>
          <w:tab w:val="left" w:pos="7380"/>
        </w:tabs>
        <w:spacing w:line="240" w:lineRule="auto"/>
      </w:pPr>
    </w:p>
    <w:p w:rsidR="000F6114" w:rsidRPr="00E3447E" w:rsidRDefault="00E3447E" w:rsidP="000F6114">
      <w:pPr>
        <w:tabs>
          <w:tab w:val="left" w:pos="7380"/>
        </w:tabs>
        <w:spacing w:line="240" w:lineRule="auto"/>
        <w:rPr>
          <w:b/>
          <w:sz w:val="28"/>
          <w:szCs w:val="28"/>
        </w:rPr>
      </w:pPr>
      <w:r w:rsidRPr="00E3447E">
        <w:rPr>
          <w:b/>
          <w:sz w:val="28"/>
          <w:szCs w:val="28"/>
        </w:rPr>
        <w:t>High Court Decisions involving External powers section 51 and Corporation Powers</w:t>
      </w:r>
    </w:p>
    <w:p w:rsidR="000F6114" w:rsidRDefault="000F6114" w:rsidP="000F6114">
      <w:pPr>
        <w:tabs>
          <w:tab w:val="left" w:pos="7380"/>
        </w:tabs>
        <w:spacing w:line="240" w:lineRule="auto"/>
        <w:rPr>
          <w:sz w:val="24"/>
          <w:szCs w:val="24"/>
        </w:rPr>
      </w:pPr>
    </w:p>
    <w:p w:rsidR="000F6114" w:rsidRPr="000F6114" w:rsidRDefault="000F6114" w:rsidP="000F6114">
      <w:pPr>
        <w:tabs>
          <w:tab w:val="left" w:pos="7380"/>
        </w:tabs>
        <w:spacing w:line="240" w:lineRule="auto"/>
        <w:rPr>
          <w:sz w:val="24"/>
          <w:szCs w:val="24"/>
        </w:rPr>
      </w:pPr>
      <w:r w:rsidRPr="000F6114">
        <w:rPr>
          <w:sz w:val="24"/>
          <w:szCs w:val="24"/>
        </w:rPr>
        <w:t xml:space="preserve">Tasmania </w:t>
      </w:r>
      <w:proofErr w:type="gramStart"/>
      <w:r w:rsidRPr="000F6114">
        <w:rPr>
          <w:sz w:val="24"/>
          <w:szCs w:val="24"/>
        </w:rPr>
        <w:t>Dams(</w:t>
      </w:r>
      <w:proofErr w:type="gramEnd"/>
      <w:r w:rsidRPr="000F6114">
        <w:rPr>
          <w:sz w:val="24"/>
          <w:szCs w:val="24"/>
        </w:rPr>
        <w:t>1983)</w:t>
      </w:r>
    </w:p>
    <w:p w:rsidR="000F6114" w:rsidRPr="000F6114" w:rsidRDefault="000F6114" w:rsidP="000F6114">
      <w:pPr>
        <w:pStyle w:val="ListParagraph"/>
        <w:numPr>
          <w:ilvl w:val="0"/>
          <w:numId w:val="4"/>
        </w:numPr>
        <w:tabs>
          <w:tab w:val="left" w:pos="7380"/>
        </w:tabs>
        <w:spacing w:line="240" w:lineRule="auto"/>
        <w:rPr>
          <w:sz w:val="24"/>
          <w:szCs w:val="24"/>
        </w:rPr>
      </w:pPr>
      <w:r w:rsidRPr="000F6114">
        <w:rPr>
          <w:sz w:val="24"/>
          <w:szCs w:val="24"/>
        </w:rPr>
        <w:t xml:space="preserve">The decision by the Tasmanian government to dam the Franklin River and flood a substantial heritage wilderness area led to a challenge in the High Court by the Commonwealth. </w:t>
      </w:r>
    </w:p>
    <w:p w:rsidR="000F6114" w:rsidRPr="000F6114" w:rsidRDefault="000F6114" w:rsidP="000F6114">
      <w:pPr>
        <w:pStyle w:val="ListParagraph"/>
        <w:numPr>
          <w:ilvl w:val="0"/>
          <w:numId w:val="4"/>
        </w:numPr>
        <w:tabs>
          <w:tab w:val="left" w:pos="7380"/>
        </w:tabs>
        <w:spacing w:line="240" w:lineRule="auto"/>
        <w:rPr>
          <w:sz w:val="24"/>
          <w:szCs w:val="24"/>
        </w:rPr>
      </w:pPr>
      <w:r w:rsidRPr="000F6114">
        <w:rPr>
          <w:sz w:val="24"/>
          <w:szCs w:val="24"/>
        </w:rPr>
        <w:t>The court ruled that the Commonwealth had the power to prevent construction because Australia was a party to an international convention protecting world culture and natural heritage. The Franklin River was listed on the World Heritage List and, as the Commonwealth held external affairs powers under section 51 (xxix) of the Commonwealth Constitution, it had the power to bind the States to any international treaties to which Australia was a party.</w:t>
      </w:r>
    </w:p>
    <w:p w:rsidR="000F6114" w:rsidRPr="000F6114" w:rsidRDefault="000F6114" w:rsidP="000F6114">
      <w:pPr>
        <w:pStyle w:val="ListParagraph"/>
        <w:numPr>
          <w:ilvl w:val="0"/>
          <w:numId w:val="4"/>
        </w:numPr>
        <w:tabs>
          <w:tab w:val="left" w:pos="7380"/>
        </w:tabs>
        <w:spacing w:line="240" w:lineRule="auto"/>
        <w:rPr>
          <w:sz w:val="24"/>
          <w:szCs w:val="24"/>
        </w:rPr>
      </w:pPr>
      <w:r w:rsidRPr="000F6114">
        <w:rPr>
          <w:sz w:val="24"/>
          <w:szCs w:val="24"/>
        </w:rPr>
        <w:t xml:space="preserve">The decision raised another issue for the States. It ruled that statutory authorities such as the Tasmanian Hydro Electricity Commission (which generates electricity to sell) could be trading corporations under Section 51 (xx) of the Commonwealth Constitution and therefore subject to Commonwealth legislation. This permits the Commonwealth to regulate the activities of such trading corporations. </w:t>
      </w:r>
    </w:p>
    <w:p w:rsidR="000F6114" w:rsidRPr="000F6114" w:rsidRDefault="000F6114" w:rsidP="000F6114">
      <w:pPr>
        <w:pStyle w:val="ListParagraph"/>
        <w:numPr>
          <w:ilvl w:val="0"/>
          <w:numId w:val="4"/>
        </w:numPr>
        <w:tabs>
          <w:tab w:val="left" w:pos="7380"/>
        </w:tabs>
        <w:spacing w:line="240" w:lineRule="auto"/>
        <w:rPr>
          <w:sz w:val="24"/>
          <w:szCs w:val="24"/>
        </w:rPr>
      </w:pPr>
      <w:r w:rsidRPr="000F6114">
        <w:rPr>
          <w:sz w:val="24"/>
          <w:szCs w:val="24"/>
        </w:rPr>
        <w:t>This case opened the door for future Commonwealth regulation because most State economic activities are carried out by trading corporations. The decision gives the Commonwealth power over certain activities that previously have been governed by State laws and policies.</w:t>
      </w:r>
    </w:p>
    <w:p w:rsidR="000F6114" w:rsidRDefault="000F6114" w:rsidP="000F6114">
      <w:pPr>
        <w:tabs>
          <w:tab w:val="left" w:pos="7380"/>
        </w:tabs>
        <w:spacing w:line="240" w:lineRule="auto"/>
        <w:rPr>
          <w:sz w:val="24"/>
          <w:szCs w:val="24"/>
        </w:rPr>
      </w:pPr>
    </w:p>
    <w:p w:rsidR="000F6114" w:rsidRPr="000F6114" w:rsidRDefault="000F6114" w:rsidP="000F6114">
      <w:pPr>
        <w:tabs>
          <w:tab w:val="left" w:pos="7380"/>
        </w:tabs>
        <w:spacing w:line="240" w:lineRule="auto"/>
        <w:rPr>
          <w:sz w:val="24"/>
          <w:szCs w:val="24"/>
        </w:rPr>
      </w:pPr>
      <w:proofErr w:type="spellStart"/>
      <w:proofErr w:type="gramStart"/>
      <w:r w:rsidRPr="000F6114">
        <w:rPr>
          <w:sz w:val="24"/>
          <w:szCs w:val="24"/>
        </w:rPr>
        <w:t>Koowarta</w:t>
      </w:r>
      <w:proofErr w:type="spellEnd"/>
      <w:r w:rsidRPr="000F6114">
        <w:rPr>
          <w:sz w:val="24"/>
          <w:szCs w:val="24"/>
        </w:rPr>
        <w:t xml:space="preserve">  (</w:t>
      </w:r>
      <w:proofErr w:type="gramEnd"/>
      <w:r w:rsidRPr="000F6114">
        <w:rPr>
          <w:sz w:val="24"/>
          <w:szCs w:val="24"/>
        </w:rPr>
        <w:t>1982)</w:t>
      </w:r>
    </w:p>
    <w:p w:rsidR="000F6114" w:rsidRDefault="000F6114" w:rsidP="000F6114">
      <w:pPr>
        <w:pStyle w:val="ListParagraph"/>
        <w:numPr>
          <w:ilvl w:val="0"/>
          <w:numId w:val="5"/>
        </w:numPr>
        <w:tabs>
          <w:tab w:val="left" w:pos="7380"/>
        </w:tabs>
        <w:spacing w:line="240" w:lineRule="auto"/>
        <w:rPr>
          <w:sz w:val="24"/>
          <w:szCs w:val="24"/>
        </w:rPr>
      </w:pPr>
      <w:r w:rsidRPr="000F6114">
        <w:rPr>
          <w:sz w:val="24"/>
          <w:szCs w:val="24"/>
        </w:rPr>
        <w:t xml:space="preserve">In 1976, John </w:t>
      </w:r>
      <w:proofErr w:type="spellStart"/>
      <w:r w:rsidRPr="000F6114">
        <w:rPr>
          <w:sz w:val="24"/>
          <w:szCs w:val="24"/>
        </w:rPr>
        <w:t>Koowarta</w:t>
      </w:r>
      <w:proofErr w:type="spellEnd"/>
      <w:r w:rsidRPr="000F6114">
        <w:rPr>
          <w:sz w:val="24"/>
          <w:szCs w:val="24"/>
        </w:rPr>
        <w:t xml:space="preserve"> convinced the Aboriginal Land Fund Commission to purchase a lease of land in Northern Queensland. The lease was to enable an Aboriginal community to start a cattle property. Permission to lease the land was refused by </w:t>
      </w:r>
      <w:r w:rsidRPr="000F6114">
        <w:rPr>
          <w:sz w:val="24"/>
          <w:szCs w:val="24"/>
        </w:rPr>
        <w:lastRenderedPageBreak/>
        <w:t>the Queensland National Party government led by Bjelke-</w:t>
      </w:r>
      <w:proofErr w:type="gramStart"/>
      <w:r w:rsidRPr="000F6114">
        <w:rPr>
          <w:sz w:val="24"/>
          <w:szCs w:val="24"/>
        </w:rPr>
        <w:t>Petersen,</w:t>
      </w:r>
      <w:proofErr w:type="gramEnd"/>
      <w:r w:rsidRPr="000F6114">
        <w:rPr>
          <w:sz w:val="24"/>
          <w:szCs w:val="24"/>
        </w:rPr>
        <w:t xml:space="preserve"> the party was opposed to Abor</w:t>
      </w:r>
      <w:r>
        <w:rPr>
          <w:sz w:val="24"/>
          <w:szCs w:val="24"/>
        </w:rPr>
        <w:t xml:space="preserve">igines buying leasehold land. </w:t>
      </w:r>
    </w:p>
    <w:p w:rsidR="000F6114" w:rsidRDefault="000F6114" w:rsidP="000F6114">
      <w:pPr>
        <w:pStyle w:val="ListParagraph"/>
        <w:numPr>
          <w:ilvl w:val="0"/>
          <w:numId w:val="5"/>
        </w:numPr>
        <w:tabs>
          <w:tab w:val="left" w:pos="7380"/>
        </w:tabs>
        <w:spacing w:line="240" w:lineRule="auto"/>
        <w:rPr>
          <w:sz w:val="24"/>
          <w:szCs w:val="24"/>
        </w:rPr>
      </w:pPr>
      <w:r w:rsidRPr="000F6114">
        <w:rPr>
          <w:sz w:val="24"/>
          <w:szCs w:val="24"/>
        </w:rPr>
        <w:t xml:space="preserve">The </w:t>
      </w:r>
      <w:proofErr w:type="spellStart"/>
      <w:r w:rsidRPr="000F6114">
        <w:rPr>
          <w:sz w:val="24"/>
          <w:szCs w:val="24"/>
        </w:rPr>
        <w:t>Koowarta</w:t>
      </w:r>
      <w:proofErr w:type="spellEnd"/>
      <w:r w:rsidRPr="000F6114">
        <w:rPr>
          <w:sz w:val="24"/>
          <w:szCs w:val="24"/>
        </w:rPr>
        <w:t xml:space="preserve"> group took the case to the High Court, arguing that the Queensland government's decision breached the Commonwealth 1975 Racial Discrimination Act. This Act implemented the terms of an international treaty that sought the abolition of all forms of discrimination based on race. In opposition, the Bjelke-Petersen government insisted that the Act should be declared invalid on the grounds that it extended the Commonwealth's external affairs power beyond that intended by the Constitution. Indeed, the Commonwealth did not have the Constitutional authority to legislate on racial </w:t>
      </w:r>
      <w:r>
        <w:rPr>
          <w:sz w:val="24"/>
          <w:szCs w:val="24"/>
        </w:rPr>
        <w:t xml:space="preserve">discrimination in the States. </w:t>
      </w:r>
    </w:p>
    <w:p w:rsidR="000F6114" w:rsidRPr="000F6114" w:rsidRDefault="000F6114" w:rsidP="000F6114">
      <w:pPr>
        <w:pStyle w:val="ListParagraph"/>
        <w:numPr>
          <w:ilvl w:val="0"/>
          <w:numId w:val="5"/>
        </w:numPr>
        <w:tabs>
          <w:tab w:val="left" w:pos="7380"/>
        </w:tabs>
        <w:spacing w:line="240" w:lineRule="auto"/>
        <w:rPr>
          <w:sz w:val="24"/>
          <w:szCs w:val="24"/>
        </w:rPr>
      </w:pPr>
      <w:r w:rsidRPr="000F6114">
        <w:rPr>
          <w:sz w:val="24"/>
          <w:szCs w:val="24"/>
        </w:rPr>
        <w:t>In 1982 the High Court ruled, by the narrowest of margins (4-3), that the Racial Discrimination Act was valid and that it could override State laws using the external affairs powers under section 51 (xxix) of the Commonwealth Constitution.</w:t>
      </w:r>
    </w:p>
    <w:sectPr w:rsidR="000F6114" w:rsidRPr="000F6114" w:rsidSect="000D355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C8D" w:rsidRDefault="00685C8D" w:rsidP="00E3447E">
      <w:pPr>
        <w:spacing w:after="0" w:line="240" w:lineRule="auto"/>
      </w:pPr>
      <w:r>
        <w:separator/>
      </w:r>
    </w:p>
  </w:endnote>
  <w:endnote w:type="continuationSeparator" w:id="0">
    <w:p w:rsidR="00685C8D" w:rsidRDefault="00685C8D" w:rsidP="00E344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C8D" w:rsidRDefault="00685C8D" w:rsidP="00E3447E">
      <w:pPr>
        <w:spacing w:after="0" w:line="240" w:lineRule="auto"/>
      </w:pPr>
      <w:r>
        <w:separator/>
      </w:r>
    </w:p>
  </w:footnote>
  <w:footnote w:type="continuationSeparator" w:id="0">
    <w:p w:rsidR="00685C8D" w:rsidRDefault="00685C8D" w:rsidP="00E344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B66D2"/>
    <w:multiLevelType w:val="hybridMultilevel"/>
    <w:tmpl w:val="9DFEC4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A9B16B1"/>
    <w:multiLevelType w:val="hybridMultilevel"/>
    <w:tmpl w:val="681C97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B766785"/>
    <w:multiLevelType w:val="hybridMultilevel"/>
    <w:tmpl w:val="57AE0E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7D56B28"/>
    <w:multiLevelType w:val="hybridMultilevel"/>
    <w:tmpl w:val="636A4A1C"/>
    <w:lvl w:ilvl="0" w:tplc="0C090001">
      <w:start w:val="1"/>
      <w:numFmt w:val="bullet"/>
      <w:lvlText w:val=""/>
      <w:lvlJc w:val="left"/>
      <w:pPr>
        <w:ind w:left="810" w:hanging="360"/>
      </w:pPr>
      <w:rPr>
        <w:rFonts w:ascii="Symbol" w:hAnsi="Symbol" w:hint="default"/>
      </w:rPr>
    </w:lvl>
    <w:lvl w:ilvl="1" w:tplc="0C090003" w:tentative="1">
      <w:start w:val="1"/>
      <w:numFmt w:val="bullet"/>
      <w:lvlText w:val="o"/>
      <w:lvlJc w:val="left"/>
      <w:pPr>
        <w:ind w:left="1530" w:hanging="360"/>
      </w:pPr>
      <w:rPr>
        <w:rFonts w:ascii="Courier New" w:hAnsi="Courier New" w:cs="Courier New" w:hint="default"/>
      </w:rPr>
    </w:lvl>
    <w:lvl w:ilvl="2" w:tplc="0C090005" w:tentative="1">
      <w:start w:val="1"/>
      <w:numFmt w:val="bullet"/>
      <w:lvlText w:val=""/>
      <w:lvlJc w:val="left"/>
      <w:pPr>
        <w:ind w:left="2250" w:hanging="360"/>
      </w:pPr>
      <w:rPr>
        <w:rFonts w:ascii="Wingdings" w:hAnsi="Wingdings" w:hint="default"/>
      </w:rPr>
    </w:lvl>
    <w:lvl w:ilvl="3" w:tplc="0C090001" w:tentative="1">
      <w:start w:val="1"/>
      <w:numFmt w:val="bullet"/>
      <w:lvlText w:val=""/>
      <w:lvlJc w:val="left"/>
      <w:pPr>
        <w:ind w:left="2970" w:hanging="360"/>
      </w:pPr>
      <w:rPr>
        <w:rFonts w:ascii="Symbol" w:hAnsi="Symbol" w:hint="default"/>
      </w:rPr>
    </w:lvl>
    <w:lvl w:ilvl="4" w:tplc="0C090003" w:tentative="1">
      <w:start w:val="1"/>
      <w:numFmt w:val="bullet"/>
      <w:lvlText w:val="o"/>
      <w:lvlJc w:val="left"/>
      <w:pPr>
        <w:ind w:left="3690" w:hanging="360"/>
      </w:pPr>
      <w:rPr>
        <w:rFonts w:ascii="Courier New" w:hAnsi="Courier New" w:cs="Courier New" w:hint="default"/>
      </w:rPr>
    </w:lvl>
    <w:lvl w:ilvl="5" w:tplc="0C090005" w:tentative="1">
      <w:start w:val="1"/>
      <w:numFmt w:val="bullet"/>
      <w:lvlText w:val=""/>
      <w:lvlJc w:val="left"/>
      <w:pPr>
        <w:ind w:left="4410" w:hanging="360"/>
      </w:pPr>
      <w:rPr>
        <w:rFonts w:ascii="Wingdings" w:hAnsi="Wingdings" w:hint="default"/>
      </w:rPr>
    </w:lvl>
    <w:lvl w:ilvl="6" w:tplc="0C090001" w:tentative="1">
      <w:start w:val="1"/>
      <w:numFmt w:val="bullet"/>
      <w:lvlText w:val=""/>
      <w:lvlJc w:val="left"/>
      <w:pPr>
        <w:ind w:left="5130" w:hanging="360"/>
      </w:pPr>
      <w:rPr>
        <w:rFonts w:ascii="Symbol" w:hAnsi="Symbol" w:hint="default"/>
      </w:rPr>
    </w:lvl>
    <w:lvl w:ilvl="7" w:tplc="0C090003" w:tentative="1">
      <w:start w:val="1"/>
      <w:numFmt w:val="bullet"/>
      <w:lvlText w:val="o"/>
      <w:lvlJc w:val="left"/>
      <w:pPr>
        <w:ind w:left="5850" w:hanging="360"/>
      </w:pPr>
      <w:rPr>
        <w:rFonts w:ascii="Courier New" w:hAnsi="Courier New" w:cs="Courier New" w:hint="default"/>
      </w:rPr>
    </w:lvl>
    <w:lvl w:ilvl="8" w:tplc="0C090005" w:tentative="1">
      <w:start w:val="1"/>
      <w:numFmt w:val="bullet"/>
      <w:lvlText w:val=""/>
      <w:lvlJc w:val="left"/>
      <w:pPr>
        <w:ind w:left="6570" w:hanging="360"/>
      </w:pPr>
      <w:rPr>
        <w:rFonts w:ascii="Wingdings" w:hAnsi="Wingdings" w:hint="default"/>
      </w:rPr>
    </w:lvl>
  </w:abstractNum>
  <w:abstractNum w:abstractNumId="4">
    <w:nsid w:val="4FD71FDF"/>
    <w:multiLevelType w:val="hybridMultilevel"/>
    <w:tmpl w:val="BACCC1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384346"/>
    <w:rsid w:val="000D3552"/>
    <w:rsid w:val="000F6114"/>
    <w:rsid w:val="001F195D"/>
    <w:rsid w:val="00215205"/>
    <w:rsid w:val="00384346"/>
    <w:rsid w:val="003A2B33"/>
    <w:rsid w:val="003B43AF"/>
    <w:rsid w:val="00500C6A"/>
    <w:rsid w:val="005B5073"/>
    <w:rsid w:val="00642020"/>
    <w:rsid w:val="00685C8D"/>
    <w:rsid w:val="00721090"/>
    <w:rsid w:val="008B2646"/>
    <w:rsid w:val="008E1B76"/>
    <w:rsid w:val="00AF00FD"/>
    <w:rsid w:val="00DB32BD"/>
    <w:rsid w:val="00E3447E"/>
  </w:rsids>
  <m:mathPr>
    <m:mathFont m:val="Cambria Math"/>
    <m:brkBin m:val="before"/>
    <m:brkBinSub m:val="--"/>
    <m:smallFrac m:val="off"/>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5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00FD"/>
    <w:pPr>
      <w:ind w:left="720"/>
      <w:contextualSpacing/>
    </w:pPr>
  </w:style>
  <w:style w:type="paragraph" w:styleId="Header">
    <w:name w:val="header"/>
    <w:basedOn w:val="Normal"/>
    <w:link w:val="HeaderChar"/>
    <w:uiPriority w:val="99"/>
    <w:semiHidden/>
    <w:unhideWhenUsed/>
    <w:rsid w:val="00E3447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3447E"/>
  </w:style>
  <w:style w:type="paragraph" w:styleId="Footer">
    <w:name w:val="footer"/>
    <w:basedOn w:val="Normal"/>
    <w:link w:val="FooterChar"/>
    <w:uiPriority w:val="99"/>
    <w:semiHidden/>
    <w:unhideWhenUsed/>
    <w:rsid w:val="00E3447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3447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3</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Bradshaw</dc:creator>
  <cp:lastModifiedBy>Tony Bradshaw</cp:lastModifiedBy>
  <cp:revision>1</cp:revision>
  <dcterms:created xsi:type="dcterms:W3CDTF">2013-05-26T10:12:00Z</dcterms:created>
  <dcterms:modified xsi:type="dcterms:W3CDTF">2013-05-27T15:44:00Z</dcterms:modified>
</cp:coreProperties>
</file>